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РЕСПУБЛИКА КАРЕЛИЯ</w:t>
      </w:r>
    </w:p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ЛАХДЕНПОХСКИЙ МУНИЦИПАЛЬНЫЙ РАЙОН</w:t>
      </w:r>
    </w:p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</w:p>
    <w:p w:rsidR="00E12A84" w:rsidRPr="00AD2F6B" w:rsidRDefault="00E12A84" w:rsidP="00E12A84">
      <w:pPr>
        <w:pStyle w:val="a4"/>
        <w:jc w:val="center"/>
        <w:rPr>
          <w:b/>
          <w:sz w:val="24"/>
          <w:szCs w:val="24"/>
        </w:rPr>
      </w:pPr>
      <w:r w:rsidRPr="00AD2F6B">
        <w:rPr>
          <w:sz w:val="24"/>
          <w:szCs w:val="24"/>
        </w:rPr>
        <w:t>АДМИНИСТРАЦИЯ ЭЛИСЕНВААРСКОГО СЕЛЬСКОГО ПОСЕЛЕНИЯ</w:t>
      </w:r>
    </w:p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</w:p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</w:p>
    <w:p w:rsidR="00E12A84" w:rsidRPr="00AD2F6B" w:rsidRDefault="00E12A84" w:rsidP="00E12A84">
      <w:pPr>
        <w:pStyle w:val="a4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ПОСТАНОВЛЕНИЕ</w:t>
      </w:r>
    </w:p>
    <w:p w:rsidR="00E12A84" w:rsidRDefault="00E12A84" w:rsidP="00E12A84">
      <w:pPr>
        <w:rPr>
          <w:rFonts w:ascii="Times New Roman" w:hAnsi="Times New Roman"/>
          <w:sz w:val="24"/>
          <w:szCs w:val="24"/>
        </w:rPr>
      </w:pPr>
    </w:p>
    <w:p w:rsidR="00E12A84" w:rsidRPr="00AD2F6B" w:rsidRDefault="00E12A84" w:rsidP="00E12A84">
      <w:pPr>
        <w:pStyle w:val="a4"/>
        <w:rPr>
          <w:sz w:val="24"/>
          <w:szCs w:val="24"/>
        </w:rPr>
      </w:pPr>
    </w:p>
    <w:p w:rsidR="00E12A84" w:rsidRPr="00AD2F6B" w:rsidRDefault="00E12A84" w:rsidP="00E12A8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F04468">
        <w:rPr>
          <w:sz w:val="24"/>
          <w:szCs w:val="24"/>
        </w:rPr>
        <w:t>18.02.</w:t>
      </w:r>
      <w:r>
        <w:rPr>
          <w:sz w:val="24"/>
          <w:szCs w:val="24"/>
        </w:rPr>
        <w:t>2019</w:t>
      </w:r>
      <w:r w:rsidRPr="00AD2F6B">
        <w:rPr>
          <w:sz w:val="24"/>
          <w:szCs w:val="24"/>
        </w:rPr>
        <w:t xml:space="preserve">   года                                                </w:t>
      </w:r>
      <w:r w:rsidR="00F04468">
        <w:rPr>
          <w:sz w:val="24"/>
          <w:szCs w:val="24"/>
        </w:rPr>
        <w:t xml:space="preserve">                </w:t>
      </w:r>
      <w:r w:rsidRPr="00AD2F6B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№ </w:t>
      </w:r>
      <w:r w:rsidR="00B05C84">
        <w:rPr>
          <w:sz w:val="24"/>
          <w:szCs w:val="24"/>
        </w:rPr>
        <w:t>15</w:t>
      </w:r>
    </w:p>
    <w:p w:rsidR="00E12A84" w:rsidRPr="00AD2F6B" w:rsidRDefault="00E12A84" w:rsidP="00E12A84">
      <w:pPr>
        <w:pStyle w:val="a4"/>
        <w:rPr>
          <w:sz w:val="24"/>
          <w:szCs w:val="24"/>
        </w:rPr>
      </w:pPr>
      <w:r w:rsidRPr="00AD2F6B">
        <w:rPr>
          <w:sz w:val="24"/>
          <w:szCs w:val="24"/>
        </w:rPr>
        <w:t xml:space="preserve">      п. Элисенваара </w:t>
      </w:r>
    </w:p>
    <w:p w:rsidR="00E12A84" w:rsidRDefault="00E12A84" w:rsidP="00E12A84">
      <w:pPr>
        <w:pStyle w:val="a4"/>
        <w:rPr>
          <w:b/>
          <w:spacing w:val="40"/>
          <w:sz w:val="36"/>
          <w:szCs w:val="36"/>
        </w:rPr>
      </w:pPr>
    </w:p>
    <w:p w:rsidR="00E12A84" w:rsidRDefault="00E12A84" w:rsidP="00E12A84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Об утверждении учетной политики</w:t>
      </w:r>
    </w:p>
    <w:p w:rsidR="00E12A84" w:rsidRDefault="00E12A84" w:rsidP="00E12A84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налогового учета</w:t>
      </w:r>
    </w:p>
    <w:p w:rsidR="00E12A84" w:rsidRPr="00AD2F6B" w:rsidRDefault="00E12A84" w:rsidP="00E12A84">
      <w:pPr>
        <w:pStyle w:val="a4"/>
        <w:jc w:val="both"/>
        <w:rPr>
          <w:sz w:val="24"/>
          <w:szCs w:val="24"/>
        </w:rPr>
      </w:pPr>
    </w:p>
    <w:p w:rsidR="00E12A84" w:rsidRPr="00AD2F6B" w:rsidRDefault="00E12A84" w:rsidP="00E12A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2F6B">
        <w:rPr>
          <w:rFonts w:ascii="Times New Roman" w:hAnsi="Times New Roman"/>
          <w:sz w:val="24"/>
          <w:szCs w:val="24"/>
        </w:rPr>
        <w:t>ПОСТАНОВЛЯЕТ:</w:t>
      </w:r>
    </w:p>
    <w:p w:rsidR="00E12A84" w:rsidRPr="00591894" w:rsidRDefault="00E12A84" w:rsidP="0059189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8"/>
        </w:rPr>
      </w:pPr>
      <w:r w:rsidRPr="00591894">
        <w:rPr>
          <w:rFonts w:ascii="Times New Roman" w:hAnsi="Times New Roman"/>
          <w:sz w:val="24"/>
          <w:szCs w:val="24"/>
        </w:rPr>
        <w:t xml:space="preserve">Утвердить учетную политику для целей налогового учета согласно приложению и ввести ее в действие с </w:t>
      </w:r>
      <w:r w:rsidR="00EA1E2C" w:rsidRPr="00591894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18 февраля </w:t>
      </w:r>
      <w:r w:rsidRPr="00591894">
        <w:rPr>
          <w:rStyle w:val="fill"/>
          <w:rFonts w:ascii="Times New Roman" w:hAnsi="Times New Roman"/>
          <w:b w:val="0"/>
          <w:i w:val="0"/>
          <w:color w:val="auto"/>
          <w:sz w:val="24"/>
          <w:szCs w:val="24"/>
        </w:rPr>
        <w:t xml:space="preserve"> 2019 года</w:t>
      </w:r>
      <w:r w:rsidRPr="00591894">
        <w:rPr>
          <w:rFonts w:ascii="Times New Roman" w:hAnsi="Times New Roman"/>
          <w:sz w:val="24"/>
          <w:szCs w:val="24"/>
        </w:rPr>
        <w:t>.</w:t>
      </w:r>
    </w:p>
    <w:p w:rsidR="00E12A84" w:rsidRPr="00591894" w:rsidRDefault="00E12A84" w:rsidP="00E12A8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591894">
        <w:rPr>
          <w:rFonts w:ascii="Times New Roman" w:hAnsi="Times New Roman"/>
          <w:sz w:val="24"/>
          <w:szCs w:val="28"/>
        </w:rPr>
        <w:t>Контроль за</w:t>
      </w:r>
      <w:proofErr w:type="gramEnd"/>
      <w:r w:rsidRPr="00591894">
        <w:rPr>
          <w:rFonts w:ascii="Times New Roman" w:hAnsi="Times New Roman"/>
          <w:sz w:val="24"/>
          <w:szCs w:val="28"/>
        </w:rPr>
        <w:t xml:space="preserve"> исполнением приказа возложить на </w:t>
      </w:r>
      <w:r w:rsidR="00671E3D" w:rsidRPr="00591894">
        <w:rPr>
          <w:rFonts w:ascii="Times New Roman" w:hAnsi="Times New Roman"/>
          <w:sz w:val="24"/>
          <w:szCs w:val="28"/>
        </w:rPr>
        <w:t xml:space="preserve">главного специалиста    </w:t>
      </w:r>
      <w:r w:rsidRPr="00591894">
        <w:rPr>
          <w:rFonts w:ascii="Times New Roman" w:hAnsi="Times New Roman"/>
          <w:sz w:val="24"/>
          <w:szCs w:val="28"/>
        </w:rPr>
        <w:t xml:space="preserve">главного бухгалтера </w:t>
      </w:r>
      <w:r w:rsidR="00671E3D" w:rsidRPr="00591894">
        <w:rPr>
          <w:rFonts w:ascii="Times New Roman" w:hAnsi="Times New Roman"/>
          <w:sz w:val="24"/>
          <w:szCs w:val="28"/>
        </w:rPr>
        <w:t xml:space="preserve">- </w:t>
      </w:r>
      <w:r w:rsidRPr="00591894">
        <w:rPr>
          <w:rFonts w:ascii="Times New Roman" w:hAnsi="Times New Roman"/>
          <w:sz w:val="24"/>
          <w:szCs w:val="28"/>
        </w:rPr>
        <w:t xml:space="preserve">В.О. </w:t>
      </w:r>
      <w:proofErr w:type="spellStart"/>
      <w:r w:rsidRPr="00591894">
        <w:rPr>
          <w:rFonts w:ascii="Times New Roman" w:hAnsi="Times New Roman"/>
          <w:sz w:val="24"/>
          <w:szCs w:val="28"/>
        </w:rPr>
        <w:t>Овчарову</w:t>
      </w:r>
      <w:proofErr w:type="spellEnd"/>
      <w:r w:rsidRPr="00591894">
        <w:rPr>
          <w:rFonts w:ascii="Times New Roman" w:hAnsi="Times New Roman"/>
          <w:sz w:val="24"/>
          <w:szCs w:val="28"/>
        </w:rPr>
        <w:t>.</w:t>
      </w:r>
    </w:p>
    <w:p w:rsidR="00E12A84" w:rsidRPr="00591894" w:rsidRDefault="00E12A84" w:rsidP="00E12A84">
      <w:pPr>
        <w:spacing w:after="0"/>
        <w:ind w:left="710"/>
        <w:jc w:val="both"/>
        <w:rPr>
          <w:rFonts w:ascii="Times New Roman" w:hAnsi="Times New Roman"/>
          <w:sz w:val="24"/>
          <w:szCs w:val="28"/>
        </w:rPr>
      </w:pPr>
    </w:p>
    <w:p w:rsidR="00E12A84" w:rsidRPr="00591894" w:rsidRDefault="00E12A84" w:rsidP="00E12A84">
      <w:pPr>
        <w:pStyle w:val="a3"/>
        <w:spacing w:after="0"/>
        <w:ind w:left="1068"/>
        <w:jc w:val="both"/>
        <w:rPr>
          <w:rFonts w:ascii="Times New Roman" w:hAnsi="Times New Roman"/>
          <w:sz w:val="24"/>
          <w:szCs w:val="28"/>
        </w:rPr>
      </w:pPr>
    </w:p>
    <w:p w:rsidR="00E12A84" w:rsidRPr="006A59CB" w:rsidRDefault="00E12A84" w:rsidP="00E12A84">
      <w:pPr>
        <w:rPr>
          <w:rFonts w:ascii="Times New Roman" w:hAnsi="Times New Roman"/>
          <w:sz w:val="24"/>
          <w:szCs w:val="28"/>
        </w:rPr>
      </w:pPr>
    </w:p>
    <w:p w:rsidR="00E12A84" w:rsidRDefault="00EA1E2C" w:rsidP="00E12A84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E12A84" w:rsidRPr="00BA1DA9">
        <w:rPr>
          <w:rFonts w:ascii="Times New Roman" w:hAnsi="Times New Roman"/>
          <w:sz w:val="24"/>
          <w:szCs w:val="24"/>
        </w:rPr>
        <w:t xml:space="preserve">Глава </w:t>
      </w:r>
    </w:p>
    <w:p w:rsidR="00E12A84" w:rsidRPr="00BA1DA9" w:rsidRDefault="00EA1E2C" w:rsidP="00E12A84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E12A84">
        <w:rPr>
          <w:rFonts w:ascii="Times New Roman" w:hAnsi="Times New Roman"/>
          <w:sz w:val="24"/>
          <w:szCs w:val="24"/>
        </w:rPr>
        <w:t>Элисенваарского</w:t>
      </w:r>
      <w:r w:rsidR="00E12A84" w:rsidRPr="00BA1DA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E12A84">
        <w:rPr>
          <w:rFonts w:ascii="Times New Roman" w:hAnsi="Times New Roman"/>
          <w:sz w:val="24"/>
          <w:szCs w:val="24"/>
        </w:rPr>
        <w:tab/>
      </w:r>
      <w:r w:rsidR="00E12A84">
        <w:rPr>
          <w:rFonts w:ascii="Times New Roman" w:hAnsi="Times New Roman"/>
          <w:sz w:val="24"/>
          <w:szCs w:val="24"/>
        </w:rPr>
        <w:tab/>
      </w:r>
      <w:r w:rsidR="00E12A84">
        <w:rPr>
          <w:rFonts w:ascii="Times New Roman" w:hAnsi="Times New Roman"/>
          <w:sz w:val="24"/>
          <w:szCs w:val="24"/>
        </w:rPr>
        <w:tab/>
      </w:r>
      <w:r w:rsidR="00E12A84">
        <w:rPr>
          <w:rFonts w:ascii="Times New Roman" w:hAnsi="Times New Roman"/>
          <w:sz w:val="24"/>
          <w:szCs w:val="24"/>
        </w:rPr>
        <w:tab/>
        <w:t>Л.М. Трудова</w:t>
      </w:r>
    </w:p>
    <w:p w:rsidR="00E12A84" w:rsidRPr="006A59CB" w:rsidRDefault="00E12A84" w:rsidP="00E12A84">
      <w:pPr>
        <w:ind w:left="780"/>
        <w:rPr>
          <w:rFonts w:ascii="Times New Roman" w:hAnsi="Times New Roman"/>
          <w:sz w:val="24"/>
          <w:szCs w:val="28"/>
        </w:rPr>
      </w:pPr>
    </w:p>
    <w:p w:rsidR="00FB19D1" w:rsidRDefault="00FB19D1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tbl>
      <w:tblPr>
        <w:tblW w:w="2835" w:type="dxa"/>
        <w:jc w:val="right"/>
        <w:tblInd w:w="61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</w:tblGrid>
      <w:tr w:rsidR="00E12A84" w:rsidRPr="00E12A84" w:rsidTr="001A11B2">
        <w:trPr>
          <w:jc w:val="right"/>
        </w:trPr>
        <w:tc>
          <w:tcPr>
            <w:tcW w:w="2835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12A84" w:rsidRPr="00E12A84" w:rsidRDefault="00E12A84" w:rsidP="00E12A84">
            <w:pPr>
              <w:spacing w:after="0" w:line="240" w:lineRule="auto"/>
              <w:rPr>
                <w:rFonts w:ascii="Times New Roman" w:hAnsi="Times New Roman"/>
              </w:rPr>
            </w:pPr>
            <w:r w:rsidRPr="00E12A84">
              <w:rPr>
                <w:rFonts w:ascii="Times New Roman" w:hAnsi="Times New Roman"/>
              </w:rPr>
              <w:lastRenderedPageBreak/>
              <w:t>Приложение 1</w:t>
            </w:r>
            <w:r w:rsidRPr="00E12A84">
              <w:rPr>
                <w:rFonts w:ascii="Times New Roman" w:hAnsi="Times New Roman"/>
              </w:rPr>
              <w:br/>
              <w:t xml:space="preserve">к </w:t>
            </w:r>
            <w:r>
              <w:rPr>
                <w:rFonts w:ascii="Times New Roman" w:hAnsi="Times New Roman"/>
              </w:rPr>
              <w:t>постановлению</w:t>
            </w:r>
            <w:r w:rsidRPr="00E12A84">
              <w:rPr>
                <w:rFonts w:ascii="Times New Roman" w:hAnsi="Times New Roman"/>
              </w:rPr>
              <w:br/>
              <w:t xml:space="preserve">от </w:t>
            </w:r>
            <w:r w:rsidR="002D617A">
              <w:rPr>
                <w:rFonts w:ascii="Times New Roman" w:hAnsi="Times New Roman"/>
              </w:rPr>
              <w:t xml:space="preserve">18 февраля </w:t>
            </w:r>
            <w:r w:rsidRPr="00E12A84">
              <w:rPr>
                <w:rFonts w:ascii="Times New Roman" w:hAnsi="Times New Roman"/>
              </w:rPr>
              <w:t xml:space="preserve"> 201</w:t>
            </w:r>
            <w:r>
              <w:rPr>
                <w:rFonts w:ascii="Times New Roman" w:hAnsi="Times New Roman"/>
              </w:rPr>
              <w:t>9</w:t>
            </w:r>
            <w:r w:rsidR="002D61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 № </w:t>
            </w:r>
            <w:r w:rsidR="002D617A">
              <w:rPr>
                <w:rFonts w:ascii="Times New Roman" w:hAnsi="Times New Roman"/>
              </w:rPr>
              <w:t>1</w:t>
            </w:r>
            <w:r w:rsidR="00B05C84">
              <w:rPr>
                <w:rFonts w:ascii="Times New Roman" w:hAnsi="Times New Roman"/>
              </w:rPr>
              <w:t>5</w:t>
            </w:r>
          </w:p>
        </w:tc>
      </w:tr>
    </w:tbl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84">
        <w:rPr>
          <w:rFonts w:ascii="Times New Roman" w:hAnsi="Times New Roman"/>
          <w:b/>
          <w:bCs/>
          <w:sz w:val="28"/>
          <w:szCs w:val="28"/>
        </w:rPr>
        <w:t>Учетная политика для целей налогообложения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 xml:space="preserve">1. Ведение налогового учета возлагается главного бухгалтера. </w:t>
      </w:r>
      <w:r w:rsidRPr="00E12A84">
        <w:rPr>
          <w:rFonts w:ascii="Times New Roman" w:hAnsi="Times New Roman"/>
          <w:sz w:val="24"/>
          <w:szCs w:val="24"/>
        </w:rPr>
        <w:br/>
        <w:t>Налоговый учет ведется автоматизированным способом с применением программы «1С Бухгалтерия».</w:t>
      </w:r>
      <w:r w:rsidRPr="00E12A84">
        <w:rPr>
          <w:rFonts w:ascii="Times New Roman" w:hAnsi="Times New Roman"/>
          <w:sz w:val="24"/>
          <w:szCs w:val="24"/>
        </w:rPr>
        <w:br/>
        <w:t>Учреждение применяет общую систему налогообложения.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84">
        <w:rPr>
          <w:rFonts w:ascii="Times New Roman" w:hAnsi="Times New Roman"/>
          <w:b/>
          <w:bCs/>
          <w:sz w:val="28"/>
          <w:szCs w:val="28"/>
        </w:rPr>
        <w:t>Налог на прибыль организаций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2. Для ведения налогового учета используются:</w:t>
      </w:r>
      <w:r w:rsidRPr="00E12A84">
        <w:rPr>
          <w:rFonts w:ascii="Times New Roman" w:hAnsi="Times New Roman"/>
          <w:sz w:val="24"/>
          <w:szCs w:val="24"/>
        </w:rPr>
        <w:br/>
        <w:t>– регистры бухгалтерского учета с разделением по счетам бухгалтерского учета с помощью дополнительных аналитических признаков в зависимости от степени признания в налоговом учете;</w:t>
      </w:r>
      <w:r w:rsidRPr="00E12A84">
        <w:rPr>
          <w:rFonts w:ascii="Times New Roman" w:hAnsi="Times New Roman"/>
          <w:sz w:val="24"/>
          <w:szCs w:val="24"/>
        </w:rPr>
        <w:br/>
        <w:t>– налоговые регистры по формам, приведенным в приложении к настоящей Учетной политике.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Основание: статья 313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3. Учет доходов ведется методом начисления.</w:t>
      </w:r>
      <w:r w:rsidRPr="00E12A84">
        <w:rPr>
          <w:rFonts w:ascii="Times New Roman" w:hAnsi="Times New Roman"/>
          <w:sz w:val="24"/>
          <w:szCs w:val="24"/>
        </w:rPr>
        <w:br/>
        <w:t>Основание: статья 271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4. Учет доходов и расходов, полученных (произведенных) в рамках целевого финансирования и целевых поступлений, ведется раздельно от других доходов. Раздельный учет обеспечивается путем проставления штампа «Нецелевое поступление» на первичных документах, которые подтверждают, что доходы не относятся к целевому финансированию и целевым поступлениям.</w:t>
      </w:r>
      <w:r w:rsidRPr="00E12A84">
        <w:rPr>
          <w:rFonts w:ascii="Times New Roman" w:hAnsi="Times New Roman"/>
          <w:sz w:val="24"/>
          <w:szCs w:val="24"/>
        </w:rPr>
        <w:br/>
        <w:t>Основание: пункт 14 статьи 250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5. При определении налоговой базы не учитываются:</w:t>
      </w:r>
      <w:r w:rsidRPr="00E12A84">
        <w:rPr>
          <w:rFonts w:ascii="Times New Roman" w:hAnsi="Times New Roman"/>
          <w:sz w:val="24"/>
          <w:szCs w:val="24"/>
        </w:rPr>
        <w:br/>
        <w:t>– лимиты бюджетных обязательств (бюджетные ассигнования), доведенные в установленном порядке;</w:t>
      </w:r>
      <w:r w:rsidRPr="00E12A84">
        <w:rPr>
          <w:rFonts w:ascii="Times New Roman" w:hAnsi="Times New Roman"/>
          <w:sz w:val="24"/>
          <w:szCs w:val="24"/>
        </w:rPr>
        <w:br/>
        <w:t xml:space="preserve">– средства, полученные от оказания и выполнения любых услуг и работ. </w:t>
      </w:r>
      <w:r w:rsidRPr="00E12A84">
        <w:rPr>
          <w:rFonts w:ascii="Times New Roman" w:hAnsi="Times New Roman"/>
          <w:sz w:val="24"/>
          <w:szCs w:val="24"/>
        </w:rPr>
        <w:br/>
        <w:t>Основание: подпункты 14, 33.1 пункта 1 статьи 251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6. Доходы для целей налогообложения и порядок их оценки.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6.1. Доходами для целей налогообложения от приносящей доход деятельности признаются доходы, получаемые:</w:t>
      </w:r>
      <w:r w:rsidRPr="00E12A84">
        <w:rPr>
          <w:rFonts w:ascii="Times New Roman" w:hAnsi="Times New Roman"/>
          <w:sz w:val="24"/>
          <w:szCs w:val="24"/>
        </w:rPr>
        <w:br/>
        <w:t>– от реализации нефинансовых активов, закрепленных за учреждением на праве оперативного управления;</w:t>
      </w:r>
      <w:r w:rsidRPr="00E12A84">
        <w:rPr>
          <w:rFonts w:ascii="Times New Roman" w:hAnsi="Times New Roman"/>
          <w:sz w:val="24"/>
          <w:szCs w:val="24"/>
        </w:rPr>
        <w:br/>
        <w:t>– иные доходы, признаваемые таковыми согласно положениям главы 25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 xml:space="preserve">Доходы от реализации и </w:t>
      </w:r>
      <w:proofErr w:type="spellStart"/>
      <w:r w:rsidRPr="00E12A84">
        <w:rPr>
          <w:rFonts w:ascii="Times New Roman" w:hAnsi="Times New Roman"/>
          <w:sz w:val="24"/>
          <w:szCs w:val="24"/>
        </w:rPr>
        <w:t>внереализационные</w:t>
      </w:r>
      <w:proofErr w:type="spellEnd"/>
      <w:r w:rsidRPr="00E12A84">
        <w:rPr>
          <w:rFonts w:ascii="Times New Roman" w:hAnsi="Times New Roman"/>
          <w:sz w:val="24"/>
          <w:szCs w:val="24"/>
        </w:rPr>
        <w:t xml:space="preserve"> доходы учитываются в соответствии со статьями 249, 250 Налогового кодекса. 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lastRenderedPageBreak/>
        <w:t>6.2. Полученные налогооблагаемые доходы определяются на основании:</w:t>
      </w:r>
      <w:r w:rsidRPr="00E12A84">
        <w:rPr>
          <w:rFonts w:ascii="Times New Roman" w:hAnsi="Times New Roman"/>
          <w:sz w:val="24"/>
          <w:szCs w:val="24"/>
        </w:rPr>
        <w:br/>
        <w:t xml:space="preserve">– оборотов по счету </w:t>
      </w:r>
      <w:r w:rsidRPr="00E12A8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ХХХХХХХХХХХХХХХХХХ </w:t>
      </w:r>
      <w:r w:rsidRPr="00E12A84">
        <w:rPr>
          <w:rFonts w:ascii="Times New Roman" w:hAnsi="Times New Roman"/>
          <w:sz w:val="24"/>
          <w:szCs w:val="24"/>
        </w:rPr>
        <w:t>1.205.ХХ.000 «Расчеты по доходам», аналитический признак «Доходы, учитываемые</w:t>
      </w:r>
      <w:r>
        <w:rPr>
          <w:rFonts w:ascii="Times New Roman" w:hAnsi="Times New Roman"/>
          <w:sz w:val="24"/>
          <w:szCs w:val="24"/>
        </w:rPr>
        <w:t xml:space="preserve"> при расчете налога на прибыль».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6.3. Стоимость безвозмездно полученного имущества в случаях, когда доход от такого имущества подлежит налогообложению, а также стоимость имущества, выявленного при инвентаризации, включается в состав налогооблагаемых доходов по рыночной стоимости.</w:t>
      </w:r>
      <w:r w:rsidRPr="00E12A84">
        <w:rPr>
          <w:rFonts w:ascii="Times New Roman" w:hAnsi="Times New Roman"/>
          <w:sz w:val="24"/>
          <w:szCs w:val="24"/>
        </w:rPr>
        <w:br/>
        <w:t>Рыночную стоимость устанавливает постоянно действующая в учреждении комиссия по поступлению и выбытию активов. В оценке учитываются положения статьи 105.3 Налогового кодекса. Итоги оценки оформляются в акте произвольной формы с приложением подтверждающих документов, на основе которых был произведен расчет:</w:t>
      </w:r>
    </w:p>
    <w:p w:rsidR="00E12A84" w:rsidRPr="00E12A84" w:rsidRDefault="00E12A84" w:rsidP="00E12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справками (другими подтверждающими документами) Росстата;</w:t>
      </w:r>
    </w:p>
    <w:p w:rsidR="00E12A84" w:rsidRPr="00E12A84" w:rsidRDefault="00E12A84" w:rsidP="00E12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прайс-листами заводов-изготовителей;</w:t>
      </w:r>
    </w:p>
    <w:p w:rsidR="00E12A84" w:rsidRPr="00E12A84" w:rsidRDefault="00E12A84" w:rsidP="00E12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справками (другими подтверждающими документами) оценщиков;</w:t>
      </w:r>
    </w:p>
    <w:p w:rsidR="00E12A84" w:rsidRPr="00E12A84" w:rsidRDefault="00E12A84" w:rsidP="00E12A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информацией, размещенной в СМИ.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При невозможности определения рыночной стоимости силами комиссии учреждения к оценке привлекается внешний эксперт или специализированная организация.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6.4. Излишки имущества, приобретенного за счет целевого финансирования, которые образовались из-за ранее допущенных ошибок бухучета, налогооблагаемым доходом не признаются.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7. Декларация по окончании каждого отчетного (налогового) периода представляется в электронном виде в сроки, предусмотренные статьей 289 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  <w:sz w:val="24"/>
          <w:szCs w:val="24"/>
        </w:rPr>
        <w:t>Если ни в одном отчетном периоде налогового периода у учреждения не возникает доходов, подлежащих налогообложению, учреждение представляет нулевую налоговую декларацию</w:t>
      </w:r>
      <w:r w:rsidRPr="00E12A84">
        <w:rPr>
          <w:rFonts w:ascii="Times New Roman" w:hAnsi="Times New Roman"/>
        </w:rPr>
        <w:t>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84">
        <w:rPr>
          <w:rFonts w:ascii="Times New Roman" w:hAnsi="Times New Roman"/>
          <w:b/>
          <w:bCs/>
          <w:sz w:val="28"/>
          <w:szCs w:val="28"/>
        </w:rPr>
        <w:t>Налог на добавленную стоимость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8. Не является объектом обложения НДС выполнение работ (оказание услуг). А также другие операции, которые не признаются реализацией для целей расчета НДС в соответствии с Налоговым кодексом РФ.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Объектом обложения НДС признаются операции по реализации и безвозмездной передаче нефинансовых активов, в том числе:</w:t>
      </w:r>
      <w:r w:rsidRPr="00E12A84">
        <w:rPr>
          <w:rFonts w:ascii="Times New Roman" w:hAnsi="Times New Roman"/>
          <w:sz w:val="24"/>
          <w:szCs w:val="24"/>
        </w:rPr>
        <w:br/>
        <w:t>– по вручению подарков сотрудникам;</w:t>
      </w:r>
      <w:r w:rsidRPr="00E12A84">
        <w:rPr>
          <w:rFonts w:ascii="Times New Roman" w:hAnsi="Times New Roman"/>
          <w:sz w:val="24"/>
          <w:szCs w:val="24"/>
        </w:rPr>
        <w:br/>
        <w:t>– по выдаче сотрудникам на безвозмездной основе трудовых книжек и вкладышей к ним.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Основание: статья 146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9. Учет НДС ведется на основании счетов-фактур, заполненных в соответствии с установленным законодательством порядком и регистрируемых в книге продаж и книге покупок, которые хранятся в бухгалтерии учреждения.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84">
        <w:rPr>
          <w:rFonts w:ascii="Times New Roman" w:hAnsi="Times New Roman"/>
          <w:b/>
          <w:bCs/>
          <w:sz w:val="28"/>
          <w:szCs w:val="28"/>
        </w:rPr>
        <w:t>Транспортный налог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10. Налогооблагаемая база формируется исходя из наличия всех транспортных средств, зарегистрированных за учреждением.</w:t>
      </w:r>
      <w:r w:rsidRPr="00E12A84">
        <w:rPr>
          <w:rFonts w:ascii="Times New Roman" w:hAnsi="Times New Roman"/>
          <w:sz w:val="24"/>
          <w:szCs w:val="24"/>
        </w:rPr>
        <w:br/>
        <w:t>Основание: глава 28 Налогового кодекса, региональный Закон «О транспортном налоге».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1</w:t>
      </w:r>
      <w:r w:rsidRPr="00E12A84">
        <w:rPr>
          <w:rFonts w:ascii="Times New Roman" w:hAnsi="Times New Roman"/>
          <w:sz w:val="24"/>
          <w:szCs w:val="24"/>
        </w:rPr>
        <w:t xml:space="preserve">. Для целей настоящего пункта в налогооблагаемую базу включаются транспортные средства, находящиеся на ремонте и подлежащие списанию, до момента снятия транспортного средства с учета или исключения из </w:t>
      </w:r>
      <w:proofErr w:type="spellStart"/>
      <w:r w:rsidRPr="00E12A84">
        <w:rPr>
          <w:rFonts w:ascii="Times New Roman" w:hAnsi="Times New Roman"/>
          <w:sz w:val="24"/>
          <w:szCs w:val="24"/>
        </w:rPr>
        <w:t>госреестра</w:t>
      </w:r>
      <w:proofErr w:type="spellEnd"/>
      <w:r w:rsidRPr="00E12A84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России.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b/>
          <w:bCs/>
          <w:sz w:val="24"/>
          <w:szCs w:val="24"/>
        </w:rPr>
        <w:t>Налог на имущество организаций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12. Учреждение является плательщиком налога на имущество.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 xml:space="preserve">Перечень объектов налогообложения определять в соответствии со статьей 374 Налогового кодекса. 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Учреждение применяет льготы в соответствии с законодательством региона.</w:t>
      </w:r>
      <w:r w:rsidRPr="00E12A84">
        <w:rPr>
          <w:rFonts w:ascii="Times New Roman" w:hAnsi="Times New Roman"/>
          <w:sz w:val="24"/>
          <w:szCs w:val="24"/>
        </w:rPr>
        <w:br/>
        <w:t>Основание: глава 30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13. Налоговая ставка применяется в соответствии с законодательством региона.</w:t>
      </w:r>
      <w:r w:rsidRPr="00E12A84">
        <w:rPr>
          <w:rFonts w:ascii="Times New Roman" w:hAnsi="Times New Roman"/>
          <w:sz w:val="24"/>
          <w:szCs w:val="24"/>
        </w:rPr>
        <w:br/>
        <w:t>Основание: статья 372 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2A84">
        <w:rPr>
          <w:rFonts w:ascii="Times New Roman" w:hAnsi="Times New Roman"/>
          <w:sz w:val="24"/>
          <w:szCs w:val="24"/>
        </w:rPr>
        <w:t>14. Налоги и авансовые платежи по налогу на имущество уплачиваются в региональный бюджет по местонахождению учреждения в порядке и сроки, предусмотренные статьей 383 Налогового кодекса.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12A84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E12A84">
        <w:rPr>
          <w:rFonts w:ascii="Times New Roman" w:hAnsi="Times New Roman"/>
        </w:rPr>
        <w:t> </w:t>
      </w:r>
    </w:p>
    <w:p w:rsidR="00E12A84" w:rsidRPr="00E12A84" w:rsidRDefault="00EF1CCF" w:rsidP="00E12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E12A84" w:rsidRPr="00E12A84">
        <w:rPr>
          <w:rFonts w:ascii="Times New Roman" w:hAnsi="Times New Roman"/>
        </w:rPr>
        <w:t xml:space="preserve">Главный бухгалтер                     </w:t>
      </w:r>
      <w:r w:rsidR="00E12A84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                                                        </w:t>
      </w:r>
      <w:r w:rsidR="00E12A84">
        <w:rPr>
          <w:rFonts w:ascii="Times New Roman" w:hAnsi="Times New Roman"/>
        </w:rPr>
        <w:t xml:space="preserve">     </w:t>
      </w:r>
      <w:r w:rsidR="00E12A84" w:rsidRPr="00E12A84">
        <w:rPr>
          <w:rFonts w:ascii="Times New Roman" w:hAnsi="Times New Roman"/>
        </w:rPr>
        <w:t> </w:t>
      </w:r>
      <w:r w:rsidR="00E12A84">
        <w:rPr>
          <w:rFonts w:ascii="Times New Roman" w:hAnsi="Times New Roman"/>
        </w:rPr>
        <w:t>В</w:t>
      </w:r>
      <w:r w:rsidR="00E12A84" w:rsidRPr="00E12A84">
        <w:rPr>
          <w:rFonts w:ascii="Times New Roman" w:hAnsi="Times New Roman"/>
        </w:rPr>
        <w:t>.</w:t>
      </w:r>
      <w:r w:rsidR="00E12A84">
        <w:rPr>
          <w:rFonts w:ascii="Times New Roman" w:hAnsi="Times New Roman"/>
        </w:rPr>
        <w:t>О</w:t>
      </w:r>
      <w:r w:rsidR="00E12A84" w:rsidRPr="00E12A84">
        <w:rPr>
          <w:rFonts w:ascii="Times New Roman" w:hAnsi="Times New Roman"/>
        </w:rPr>
        <w:t xml:space="preserve">. </w:t>
      </w:r>
      <w:proofErr w:type="spellStart"/>
      <w:r w:rsidR="00E12A84">
        <w:rPr>
          <w:rFonts w:ascii="Times New Roman" w:hAnsi="Times New Roman"/>
        </w:rPr>
        <w:t>Овчарова</w:t>
      </w:r>
      <w:proofErr w:type="spellEnd"/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Default="00E12A84">
      <w:pPr>
        <w:rPr>
          <w:rFonts w:ascii="Times New Roman" w:hAnsi="Times New Roman"/>
          <w:sz w:val="24"/>
          <w:szCs w:val="24"/>
        </w:rPr>
      </w:pPr>
    </w:p>
    <w:p w:rsidR="00E12A84" w:rsidRPr="00E12A84" w:rsidRDefault="00E12A84">
      <w:pPr>
        <w:rPr>
          <w:rFonts w:ascii="Times New Roman" w:hAnsi="Times New Roman"/>
          <w:sz w:val="24"/>
          <w:szCs w:val="24"/>
        </w:rPr>
      </w:pPr>
    </w:p>
    <w:sectPr w:rsidR="00E12A84" w:rsidRPr="00E12A84" w:rsidSect="009E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73EF5"/>
    <w:multiLevelType w:val="multilevel"/>
    <w:tmpl w:val="A288BDB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AA1"/>
    <w:rsid w:val="000B179C"/>
    <w:rsid w:val="002D617A"/>
    <w:rsid w:val="00591894"/>
    <w:rsid w:val="00633FCA"/>
    <w:rsid w:val="00671E3D"/>
    <w:rsid w:val="009E67F5"/>
    <w:rsid w:val="00A67B87"/>
    <w:rsid w:val="00AE3CF3"/>
    <w:rsid w:val="00B05C84"/>
    <w:rsid w:val="00C97AA1"/>
    <w:rsid w:val="00E02899"/>
    <w:rsid w:val="00E12A84"/>
    <w:rsid w:val="00EA1E2C"/>
    <w:rsid w:val="00EF1CCF"/>
    <w:rsid w:val="00F04468"/>
    <w:rsid w:val="00FB1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A84"/>
    <w:pPr>
      <w:ind w:left="720"/>
      <w:contextualSpacing/>
    </w:pPr>
  </w:style>
  <w:style w:type="paragraph" w:styleId="a4">
    <w:name w:val="No Spacing"/>
    <w:uiPriority w:val="1"/>
    <w:qFormat/>
    <w:rsid w:val="00E12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ill">
    <w:name w:val="fill"/>
    <w:rsid w:val="00E12A84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A84"/>
    <w:pPr>
      <w:ind w:left="720"/>
      <w:contextualSpacing/>
    </w:pPr>
  </w:style>
  <w:style w:type="paragraph" w:styleId="a4">
    <w:name w:val="No Spacing"/>
    <w:uiPriority w:val="1"/>
    <w:qFormat/>
    <w:rsid w:val="00E12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ill">
    <w:name w:val="fill"/>
    <w:rsid w:val="00E12A84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8</cp:revision>
  <dcterms:created xsi:type="dcterms:W3CDTF">2019-02-22T10:33:00Z</dcterms:created>
  <dcterms:modified xsi:type="dcterms:W3CDTF">2019-02-25T06:40:00Z</dcterms:modified>
</cp:coreProperties>
</file>